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9abd06d56d3f30dfc981d9833f84811427914"/>
    <w:p>
      <w:pPr>
        <w:pStyle w:val="Heading3"/>
      </w:pPr>
      <w:r>
        <w:t xml:space="preserve">ИФНС №4 по г. Москве разъясняет - условия освобождения от уплаты имущественных налогов для ИП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drawing>
          <wp:inline>
            <wp:extent cx="5334000" cy="7253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50/16_69_1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53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http://arbat.mos.ru/presscenter/news/detail/9714435.html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714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9714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2024-04-16T06:44:52Z</dcterms:created>
  <dcterms:modified xsi:type="dcterms:W3CDTF">2024-04-16T06:44:52Z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