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020b67e7da972c4f07b27fd00413f3262b5bd"/>
    <w:p>
      <w:pPr>
        <w:pStyle w:val="Heading3"/>
      </w:pPr>
      <w:r>
        <w:t xml:space="preserve">Предпринимателей обязали перейти на онлайн-кассы</w:t>
      </w:r>
    </w:p>
    <w:p>
      <w:pPr>
        <w:pStyle w:val="FirstParagraph"/>
      </w:pPr>
      <w:r>
        <w:t xml:space="preserve">09.06.2018</w:t>
      </w:r>
    </w:p>
    <w:p>
      <w:pPr>
        <w:pStyle w:val="BodyText"/>
      </w:pPr>
      <w:r>
        <w:drawing>
          <wp:inline>
            <wp:extent cx="5334000" cy="33511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e5e/nalog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11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июля часть индивидуальных предпринимателей должны будут перейти на систему онлайн-касс. Об этом стало известно 9 июня.</w:t>
      </w:r>
    </w:p>
    <w:p>
      <w:pPr>
        <w:pStyle w:val="BodyText"/>
      </w:pPr>
      <w:r>
        <w:t xml:space="preserve">Те, кто применяет патентную систему налогообложения, смогут компенсировать расходы от перехода на новую систему. Выплата будет достигать до 18 тысяч рублей.</w:t>
      </w:r>
    </w:p>
    <w:p>
      <w:pPr>
        <w:pStyle w:val="BodyText"/>
      </w:pPr>
      <w:r>
        <w:t xml:space="preserve">— Компенсировать можно не только стоимость самой кассы и фискального накопителя, но программного обеспечения и расходов на его настройку, — уточнили в пресс-службе префектуры Центрального административного округа.</w:t>
      </w:r>
    </w:p>
    <w:p>
      <w:pPr>
        <w:pStyle w:val="BodyText"/>
      </w:pPr>
      <w:r>
        <w:t xml:space="preserve">Там же сообщили, что предприниматели получат компенсацию в виде сокращения суммы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http://arbat.mos.ru/presscenter/news/detail/7385546.html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385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385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2024-08-24T00:57:17Z</dcterms:created>
  <dcterms:modified xsi:type="dcterms:W3CDTF">2024-08-24T00:57:17Z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