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8c9cf9a3154c661f46b1de797a0f5338844385"/>
    <w:p>
      <w:pPr>
        <w:pStyle w:val="Heading3"/>
      </w:pPr>
      <w:r>
        <w:t xml:space="preserve">Программу «Московской электронной школы» определят «активные граждане»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440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интернет-проекта «Активный гражданин» выберут новые темы для образовательной программы «Московская электронная школа». Об этом стало известно 20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специального голосования «активные граждане» определят формат и направление дополнительных занятий для школьников столицы. Оставить свой голос желающие могут на сайте проекта или в мобильном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официального </w:t>
      </w:r>
      <w:hyperlink r:id="rId23">
        <w:r>
          <w:rPr>
            <w:rStyle w:val="Hyperlink"/>
          </w:rPr>
          <w:t xml:space="preserve">портала</w:t>
        </w:r>
      </w:hyperlink>
      <w:r>
        <w:t xml:space="preserve"> </w:t>
      </w:r>
      <w:r>
        <w:t xml:space="preserve">мэра и Правительства Москвы, респонденты смогут выбрать между шахматами, уроками по основам оказания первой медпомощи и занятиями по кибербезопасности, а также предложить собственные варианты.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http://arbat.mos.ru/presscenter/news/detail/6872539.html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72539.html" TargetMode="External" /><Relationship Type="http://schemas.openxmlformats.org/officeDocument/2006/relationships/hyperlink" Id="rId23" Target="https://www.mos.ru/news/item/296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72539.html" TargetMode="External" /><Relationship Type="http://schemas.openxmlformats.org/officeDocument/2006/relationships/hyperlink" Id="rId23" Target="https://www.mos.ru/news/item/296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2024-09-28T21:31:20Z</dcterms:created>
  <dcterms:modified xsi:type="dcterms:W3CDTF">2024-09-28T21:31:20Z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