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aa0a236a59751ff5b2354a7fa8e36d068e9d92"/>
    <w:p>
      <w:pPr>
        <w:pStyle w:val="Heading3"/>
      </w:pPr>
      <w:r>
        <w:t xml:space="preserve">«Главные дела Москвы» в уходящем году определят «Активные граждане»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drawing>
          <wp:inline>
            <wp:extent cx="3048000" cy="2026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100/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проекта «Активный гражданин» с 29 декабря могут принять участие в голосовании «Главные дела Москвы», которое определит ключевые события столицы этого года.</w:t>
      </w:r>
    </w:p>
    <w:p>
      <w:pPr>
        <w:pStyle w:val="BodyText"/>
      </w:pPr>
      <w:r>
        <w:t xml:space="preserve">Представители «Активного гражданина» отметили, что москвичи смогут проголосовать за главные события года в трех рубриках: «Транспорт», «Городская среда», «Культура и развлечения». Отдать голос можно будет как на сайте проекта, так и с помощью одноименного мобильного приложения, пишет 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.</w:t>
      </w:r>
    </w:p>
    <w:p>
      <w:pPr>
        <w:pStyle w:val="BodyText"/>
      </w:pPr>
      <w:r>
        <w:t xml:space="preserve">Во всех рубриках «Активные граждане» смогут не только выбрать один из предложенных проектов, но также написать свой вариант. Среди возможных ответов также предусмотрены «Ничего из перечисленного» и «Затрудняюсь ответить».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http://arbat.mos.ru/presscenter/news/detail/4569071.html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569071.html" TargetMode="External" /><Relationship Type="http://schemas.openxmlformats.org/officeDocument/2006/relationships/hyperlink" Id="rId23" Target="http://www.mskagency.ru/materials/26240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4569071.html" TargetMode="External" /><Relationship Type="http://schemas.openxmlformats.org/officeDocument/2006/relationships/hyperlink" Id="rId23" Target="http://www.mskagency.ru/materials/26240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2025-05-12T13:34:54Z</dcterms:created>
  <dcterms:modified xsi:type="dcterms:W3CDTF">2025-05-12T13:34:54Z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