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3dae5117c33fa847ac3bc3bd151334ffcbfc"/>
    <w:p>
      <w:pPr>
        <w:pStyle w:val="Heading3"/>
      </w:pPr>
      <w:r>
        <w:t xml:space="preserve">Прокурор ЦАО разъясняет: Утверждены обновленные требования к предотвращению гибели объектов животного мира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Постановлением Правительства Российской Федерации от 31.05.2025 № 813 утверждены требования к предотвращению гибели объектов животного мира при осуществлении производственных процессов, а также при эксплуатации транспортных магистралей, трубопроводов и линий связи и электропередачи.</w:t>
      </w:r>
    </w:p>
    <w:p>
      <w:pPr>
        <w:pStyle w:val="BodyText"/>
      </w:pPr>
      <w:r>
        <w:t xml:space="preserve">Требования регламентируют производственную деятельность в целях предотвращения гибели объектов животного мира, обитающих в условиях естественной свободы, в результате изменения среды обитания и нарушения путей миграции, попадания в водозаборные сооружения, узлы производственного оборудования и сельскохозяйственных машин, столкновения с автомобильными и иными транспортными средствами, строительства, реконструкции, капитального ремонта объектов капитального строительства, добычи, переработки и транспортировки сырья, столкновения с проводами и электрошока, воздействия электромагнитных полей, шума, вибрации, технологических процессов животноводства и растениеводства.</w:t>
      </w:r>
    </w:p>
    <w:p>
      <w:pPr>
        <w:pStyle w:val="BodyText"/>
      </w:pPr>
      <w:r>
        <w:t xml:space="preserve">Требования обязательны для юридических лиц, физических лиц, в том числе индивидуальных предпринимателей.</w:t>
      </w:r>
    </w:p>
    <w:p>
      <w:pPr>
        <w:pStyle w:val="BodyText"/>
      </w:pPr>
      <w:r>
        <w:t xml:space="preserve">Юридические и физические лица обязаны информировать органы государственной власти субъекта Российской Федерации, осуществляющие полномочия в области охраны и использования объектов животного мира, о случаях гибели объектов животного мира при осуществлении производственных процессов, а также при эксплуатации транспортных магистралей, трубопроводов и линий связи и электропередачи в 5-дневный срок с момента обнаружения факта гибели посредством почтовой связи либо электронной почты.</w:t>
      </w:r>
    </w:p>
    <w:p>
      <w:pPr>
        <w:pStyle w:val="BodyText"/>
      </w:pPr>
      <w:r>
        <w:t xml:space="preserve">Настоящее постановление вступает в силу с 1 сентября 2025 года и действует до 1 сентября 2031 года. Утратит силу постановление Правительства российской Федерации от 13.08.1996  № 997, регулирующее аналогичные правоотношения.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http://arbat.mos.ru/presscenter/news/detail/13121069.html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121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121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2025-08-05T14:39:35Z</dcterms:created>
  <dcterms:modified xsi:type="dcterms:W3CDTF">2025-08-05T14:39:35Z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