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алоговое-уведомление"/>
    <w:p>
      <w:pPr>
        <w:pStyle w:val="Heading3"/>
      </w:pPr>
      <w:r>
        <w:t xml:space="preserve">Налоговое уведомление</w:t>
      </w:r>
    </w:p>
    <w:p>
      <w:pPr>
        <w:pStyle w:val="FirstParagraph"/>
      </w:pPr>
      <w:r>
        <w:t xml:space="preserve">29.10.2024</w:t>
      </w:r>
    </w:p>
    <w:p>
      <w:pPr>
        <w:pStyle w:val="BodyText"/>
      </w:pPr>
      <w:r>
        <w:rPr>
          <w:bCs/>
          <w:b/>
        </w:rPr>
        <w:t xml:space="preserve">Налоговое уведомление и как его исполнить.</w:t>
      </w:r>
      <w:r>
        <w:br/>
      </w:r>
      <w:r>
        <w:t xml:space="preserve"> Обязанность по ежегодному исчислению налогов, подлежащих уплате физическими лицами в отношении объектов недвижимого имущества, транспортных средств, возложена на налоговые органы (пункт 2 статьи 52 Налогового кодекса Российской Федерации). В связи с этим, не позднее 30 дней до наступления срока уплаты транспортного налога, земельного налога, налога на имущество физических лиц налоговые органы направляют налогоплательщикам налоговые уведомление для уплаты. Форма налогового уведомления утверждена приказом ФНС России от 27.09.2022 № ЕД-7-21/866@ и включает сумму налога, подлежащую уплате, сведения об объекте налогообложения, налоговой базе, сроке уплаты налога, а также сведения, необходимые для перечисления налога в качестве единого налогового платежа в бюджетную систему Российской Федерации (QR-код, штрих-код, УИН, банковские реквизиты платежа). Налоговое уведомление может быть направлено налогоплательщику: • по почте заказным письмом и считается полученным по истечении шести дней с даты направления заказного письма; • передано в электронной форме через личный кабинет налогоплательщика, личный кабинет на едином портале государственных и муниципальных услуг.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 Налогоплательщик (его законный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(далее – МФЦ)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МФЦ) в срок не позднее пяти дней со дня получения налоговым органом заявления о выдаче налогового уведомления (форма заявления утверждена приказом ФНС России от 20.10.2022 № ЕД-7-21/947@). Налоговое уведомление за налоговый период 2023 года должно быть исполнено, налоги оплачены не позднее 02.12.2024.</w:t>
      </w:r>
      <w:r>
        <w:br/>
      </w:r>
      <w:r>
        <w:rPr>
          <w:bCs/>
          <w:b/>
        </w:rPr>
        <w:t xml:space="preserve">Основные изменения в налогообложении имущества физических лиц.</w:t>
      </w:r>
      <w:r>
        <w:br/>
      </w:r>
      <w:r>
        <w:t xml:space="preserve">Налоговые уведомления, направленные в 2024 году, содержат расчет налогов имущественных налогов физических лиц за налоговый период 2023 года. При этом, по сравнению с предыдущим налоговым периодом произошли следующие основные изменения. Транспортный налог - при расчете налога применен Перечень легковых автомобилей средней стоимостью от 10 млн руб. за 2023 год, размещенный на официальном сайте Минпромторга России. Для налогообложения с применением повышающего коэффициента 3 используются позиции Перечня для легковых автомобилей средней стоимостью от 10 млн. до 15 млн. рублей, с года выпуска которых прошло не более 10 лет, и средней стоимостью от 15 млн. рублей, с года выпуска которых прошло не более 20 лет. Земельный налог - применены ограничения роста налоговой базы в соответствии с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 В частности, в случае увеличения кадастровой стоимости земельного участка на 01.01.2023 (в том числе в результате проведения в 2022 году нового тура государственной кадастровой оценки земель и утверждения его результатов) для расчета налога за налоговый период 2023 года применена кадастровая стоимость земельного участка, внесенная в Единый государственный реестр недвижимости по состоянию на 01.01.2022, за исключением случаев, если кадастровая стоимость земельного участка увеличилась вследствие изменения его характеристик. С информацией о кадастровой стоимости земельного участка можно ознакомиться, получив выписку из Единого государственного реестра недвижимости в МФЦ или на официальном сайте Росреестра. Налог на имущество физических лиц - для расчета налога за налоговый период 2023 года применена кадастровая стоимость объектов недвижимости, при этом для исчисления налога использованы коэффициенты: • 10-типроцентного ограничения роста налога по сравнению с предшествующим налоговым периодом – для регионов, где кадастровая стоимость применяется в качестве налоговой базы третий и последующие годы (за исключением объектов, включенных в перечень, определяемый в соответствии с п.7 ст. 378.2 НК РФ, а также объектов, предусмотренных абз. 2 п. 10 ст. 378.2 НК РФ, кроме гаражей и машино- мест, расположенных в таких объектах налогообложения); • 0.6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исходя из кадастровой стоимости – применительно к первому налоговому периоду, за который исчисляется налог в отношении этого объекта налогообложения (за исключением объектов, включенных в перечень, определяемый в соответствии с п.7 ст. 378.2 НК РФ, а также объектов, предусмотренных п.7 ст. 378.2 НК РФ, кроме гаражей и машино-мест, расположенных в таких объектах налогообложения); • 0.6 (в 2023 году был 0.4) – для г. Севастополя, где кадастровая стоимость применяется в качестве налоговой базы третий год; - применены изменения в системе налоговых ставок и льгот в соответствии с нормативными правовыми актами муниципальных образований (городов федерального значения) по месту нахождения объектов налогообложения. Поскольку расчет налогов на имущество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в контакт-центре ФНС России.</w:t>
      </w:r>
    </w:p>
    <w:p>
      <w:pPr>
        <w:pStyle w:val="BodyText"/>
      </w:pPr>
      <w:r>
        <w:br/>
      </w:r>
    </w:p>
    <w:p>
      <w:pPr>
        <w:pStyle w:val="BodyText"/>
      </w:pPr>
      <w:r>
        <w:t xml:space="preserve">Адрес страницы:</w:t>
      </w:r>
      <w:r>
        <w:t xml:space="preserve"> </w:t>
      </w:r>
      <w:hyperlink r:id="rId20">
        <w:r>
          <w:rPr>
            <w:rStyle w:val="Hyperlink"/>
          </w:rPr>
          <w:t xml:space="preserve">http://arbat.mos.ru/presscenter/news/detail/12633545.html</w:t>
        </w:r>
      </w:hyperlink>
    </w:p>
    <w:p>
      <w:pPr>
        <w:pStyle w:val="BodyText"/>
      </w:pPr>
      <w:hyperlink r:id="rId21">
        <w:r>
          <w:rPr>
            <w:rStyle w:val="Hyperlink"/>
          </w:rPr>
          <w:t xml:space="preserve">Управа района Арбат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rbat.mos.ru" TargetMode="External" /><Relationship Type="http://schemas.openxmlformats.org/officeDocument/2006/relationships/hyperlink" Id="rId20" Target="http://arbat.mos.ru/presscenter/news/detail/126335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arbat.mos.ru" TargetMode="External" /><Relationship Type="http://schemas.openxmlformats.org/officeDocument/2006/relationships/hyperlink" Id="rId20" Target="http://arbat.mos.ru/presscenter/news/detail/126335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2025-08-05T14:39:41Z</dcterms:created>
  <dcterms:modified xsi:type="dcterms:W3CDTF">2025-08-05T14:39:41Z</dcterms:modified>
</cp:coreProperties>
</file>

<file path=docProps/custom.xml><?xml version="1.0" encoding="utf-8"?>
<Properties xmlns="http://schemas.openxmlformats.org/officeDocument/2006/custom-properties" xmlns:vt="http://schemas.openxmlformats.org/officeDocument/2006/docPropsVTypes"/>
</file>