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524a19e17838967fff70318c8976150c62e9"/>
    <w:p>
      <w:pPr>
        <w:pStyle w:val="Heading3"/>
      </w:pPr>
      <w:r>
        <w:t xml:space="preserve">За семь месяцев оформлено рекордное число ипотечных сделок в новостройках Москвы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Фото: пресс-служба Росреестр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январе-июле 2024 года Управлением Росреестра по Москве зарегистрировано 48 527 договоров долевого участия в строительстве жилой и нежилой недвижимости с привлечением кредитных средств.</w:t>
      </w:r>
    </w:p>
    <w:p>
      <w:pPr>
        <w:pStyle w:val="BodyText"/>
      </w:pPr>
      <w:r>
        <w:t xml:space="preserve">«С начала текущего года в столице оформлено 48,5 тысячи первичных договоров с использованием ипотеки – это максимальное для семи месяцев число таких сделок. Например, к январю-июлю прошлого года рост составил 12%, а к аналогичному периоду 2022 года показатель вырос в 1,3 раза», — комментирует Игорь Майданов, руководитель Управления Росреестра по Москве.</w:t>
      </w:r>
    </w:p>
    <w:p>
      <w:pPr>
        <w:pStyle w:val="BodyText"/>
      </w:pPr>
      <w:r>
        <w:t xml:space="preserve">Доля первичных сделок с привлечением кредитных средств от общего числа оформленных с начала года ДДУ впервые достигла 60%. За этот же период 2023 года данный показатель составил около 55%, а в 2022 году – менее половины (49%) от всех регистраций в новостройках.</w:t>
      </w:r>
    </w:p>
    <w:p>
      <w:pPr>
        <w:pStyle w:val="BodyText"/>
      </w:pPr>
      <w:r>
        <w:t xml:space="preserve">В июле текущего года в Москве зарегистрировано 6 086 ДДУ с привлечением кредитных средств, что практически соответствует среднему ежемесячному числу таких сделок с начала этого года (6,9 тыс.).</w:t>
      </w:r>
    </w:p>
    <w:p>
      <w:pPr>
        <w:pStyle w:val="BodyText"/>
      </w:pPr>
      <w:r>
        <w:t xml:space="preserve">«При этом по сравнению с пиковым в этом году июнем сделок в новостройках с использованием ипотечных средств стало почти на 43% меньше, что коррелирует с общей тенденцией к охлаждению спроса на первичном рынке жилья. Такая же динамика наблюдается по сравнению с июльскими результатами прошлого (-13%) и позапрошлого (-3%) годов», — добавил руководитель Управления.</w:t>
      </w:r>
    </w:p>
    <w:p>
      <w:pPr>
        <w:pStyle w:val="BodyText"/>
      </w:pPr>
      <w:r>
        <w:t xml:space="preserve">В июле 2024 года доля ДДУ с ипотекой составила 52,9%. Для сравнения, в 2023 и 2022 годах в этом месяце с привлечением кредитных средств регистрировалось 58,7% и 57,8% ДДУ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http://arbat.mos.ru/presscenter/news/detail/12524994.html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2025-05-13T13:46:50Z</dcterms:created>
  <dcterms:modified xsi:type="dcterms:W3CDTF">2025-05-13T13:46:50Z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