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4814fca533c6163b5c808a728f2ca5836832"/>
    <w:p>
      <w:pPr>
        <w:pStyle w:val="Heading3"/>
      </w:pPr>
      <w:r>
        <w:t xml:space="preserve">Вопросы, рассмотренные 21 мая на вебинаре «Льготы по имущественным налогам ФЛ»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1. Возможно ли воспользоваться правом на налоговую льготу, не учтенным ранее?</w:t>
      </w:r>
    </w:p>
    <w:p>
      <w:pPr>
        <w:pStyle w:val="BodyText"/>
      </w:pPr>
      <w:r>
        <w:t xml:space="preserve">Ответ: Да, возможно. Перерасчет налога будет осуществлен с момента возникновения права на налоговую льготу.</w:t>
      </w:r>
    </w:p>
    <w:p>
      <w:pPr>
        <w:pStyle w:val="BodyText"/>
      </w:pPr>
      <w:r>
        <w:t xml:space="preserve">4. Когда нужно подавать заявление на налоговую льготу, чтобы получить корректное налоговое уведомление в 2024 году?</w:t>
      </w:r>
    </w:p>
    <w:p>
      <w:pPr>
        <w:pStyle w:val="BodyText"/>
      </w:pPr>
      <w:r>
        <w:t xml:space="preserve">Ответ: Для получения налогового уведомления с учетом права на налоговую льготу, необходимо заявить о налоговой льготе в 1 квартале текущего года.</w:t>
      </w:r>
    </w:p>
    <w:p>
      <w:pPr>
        <w:pStyle w:val="BodyText"/>
      </w:pPr>
      <w:r>
        <w:t xml:space="preserve">5. Есть ли ограничения по мощности двигателя автомобиля для предоставления налоговой льготы для многодетных семей?</w:t>
      </w:r>
    </w:p>
    <w:p>
      <w:pPr>
        <w:pStyle w:val="BodyText"/>
      </w:pPr>
      <w:r>
        <w:t xml:space="preserve">Ответ: Ограничений нет. Мощность может быть любой.</w:t>
      </w:r>
    </w:p>
    <w:p>
      <w:pPr>
        <w:pStyle w:val="BodyText"/>
      </w:pPr>
      <w:r>
        <w:t xml:space="preserve">Дополнительно инспектор напомнил о том, что с 1 января 2023 года вступил в силу Федеральный закон, предусматривающий введение института Единого налогового счета и все платежи администрируемые налоговыми органами отражаются на отдельном казначейском счете Управления Федерального Казначейства по тульской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http://arbat.mos.ru/presscenter/news/detail/12385683.html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38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38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2024-07-18T00:34:46Z</dcterms:created>
  <dcterms:modified xsi:type="dcterms:W3CDTF">2024-07-18T00:34:46Z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