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5d1951caf7a7a76c40f19bb8f33d585262deb"/>
    <w:p>
      <w:pPr>
        <w:pStyle w:val="Heading3"/>
      </w:pPr>
      <w:r>
        <w:t xml:space="preserve">Москва поддержит начинающих бизнесменов льготным кредитом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t xml:space="preserve">Департамент предпринимательства и инновационного развития города Москвы и Сбербанк подписали соглашение о предоставлении льготных кредитов столичному бизнесу.</w:t>
      </w:r>
    </w:p>
    <w:p>
      <w:pPr>
        <w:pStyle w:val="BodyText"/>
      </w:pPr>
      <w:r>
        <w:t xml:space="preserve">Представители среднего и малого бизнеса, работающие менее года, могут получить кредит по льготной ставке не более 12,5 процента, которая будет действовать в течении года.</w:t>
      </w:r>
    </w:p>
    <w:p>
      <w:pPr>
        <w:pStyle w:val="BodyText"/>
      </w:pPr>
      <w:r>
        <w:t xml:space="preserve">Сумма выплаты не может превысить пяти миллионов.</w:t>
      </w:r>
    </w:p>
    <w:p>
      <w:pPr>
        <w:pStyle w:val="BodyText"/>
      </w:pPr>
      <w:r>
        <w:t xml:space="preserve">Поручителем по кредиту выступит Фонд содействия кредитованию малого бизнеса Москвы, а 30 процентов суммы обеспечит бюджет города.</w:t>
      </w:r>
    </w:p>
    <w:p>
      <w:pPr>
        <w:pStyle w:val="BodyText"/>
      </w:pPr>
      <w:r>
        <w:t xml:space="preserve">Для владельцев уже развивающегося дела сумма кредитного займа для дополнительного бизнеса может достигать 100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http://arbat.mos.ru/presscenter/news/detail/10505375.html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505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505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2025-08-05T14:39:55Z</dcterms:created>
  <dcterms:modified xsi:type="dcterms:W3CDTF">2025-08-05T14:39:55Z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