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17b5ab7981254d8f26ec24cd683bde52fd5c9c"/>
    <w:p>
      <w:pPr>
        <w:pStyle w:val="Heading3"/>
      </w:pPr>
      <w:r>
        <w:t xml:space="preserve">Московские предприниматели получат материальную поддержку</w:t>
      </w:r>
    </w:p>
    <w:p>
      <w:pPr>
        <w:pStyle w:val="FirstParagraph"/>
      </w:pPr>
      <w:r>
        <w:t xml:space="preserve">15.11.2021</w:t>
      </w:r>
    </w:p>
    <w:p>
      <w:pPr>
        <w:pStyle w:val="BodyText"/>
      </w:pPr>
      <w:r>
        <w:t xml:space="preserve">В этом году уже одобрены заявки на субсидии и гранты на общую сумму свыше двух миллиардов рублей.</w:t>
      </w:r>
    </w:p>
    <w:p>
      <w:pPr>
        <w:pStyle w:val="BodyText"/>
      </w:pPr>
      <w:r>
        <w:t xml:space="preserve">Заместитель мэра Москвы в Правительстве Москвы Наталья Сергунина отметила, что наиболее активными получателями становятся рестораны, научно-исследовательские организации и технологические компании.</w:t>
      </w:r>
    </w:p>
    <w:p>
      <w:pPr>
        <w:pStyle w:val="BodyText"/>
      </w:pPr>
      <w:r>
        <w:t xml:space="preserve">В последние недели наблюдается значительное увеличение числа рассматриваемых заявок на получение мер поддержки. В октябрь и начале ноября в Москве одобрили треть всех заявок с начала года: 673 обращения на 552,2 миллиона рублей.</w:t>
      </w:r>
    </w:p>
    <w:p>
      <w:pPr>
        <w:pStyle w:val="BodyText"/>
      </w:pPr>
      <w:r>
        <w:t xml:space="preserve">Субсидии и гранты для экспортеров стали самыми востребованным видом выплат. Их чаще всего запрашивали производители машин и оборудования, научно-исследовательские организации и компании по продаже непродовольственных товаров.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http://arbat.mos.ru/presscenter/news/detail/10394149.html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941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941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2025-04-27T07:33:53Z</dcterms:created>
  <dcterms:modified xsi:type="dcterms:W3CDTF">2025-04-27T07:33:53Z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