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a794d6287cdb657f926dd8f9bf7700db3d5d9c"/>
    <w:p>
      <w:pPr>
        <w:pStyle w:val="Heading3"/>
      </w:pPr>
      <w:r>
        <w:t xml:space="preserve">Управа района Арбат извещает о составлении списков кандидатов в присяжные заседатели на 2022-2025 годы</w:t>
      </w:r>
    </w:p>
    <w:p>
      <w:pPr>
        <w:pStyle w:val="FirstParagraph"/>
      </w:pPr>
      <w:r>
        <w:t xml:space="preserve">27.09.2021</w:t>
      </w:r>
    </w:p>
    <w:bookmarkEnd w:id="20"/>
    <w:bookmarkStart w:id="26" w:name="X29877cc04ceb99dc8cadf00bd5f2680cf0c5918"/>
    <w:p>
      <w:pPr>
        <w:pStyle w:val="Heading1"/>
      </w:pPr>
      <w:r>
        <w:t xml:space="preserve">В соответствии с Федеральным законом от 20 августа 2004 года № 113-ФЗ «О присяжных заседателях Федеральных судов общей юрисдикции в Российской Федерации» граждане Российской Федерации имеют право участвовать в осуществлении правосудия в качестве присяжных заседателей при рассмотрении судами первой инстанции подсудных им уголовных дел с участием присяжных заседателей.</w:t>
      </w:r>
    </w:p>
    <w:p>
      <w:pPr>
        <w:pStyle w:val="FirstParagraph"/>
      </w:pPr>
      <w:r>
        <w:t xml:space="preserve">Участие в осуществлении правосудия в качестве присяжных заседателей граждан, включенных в списки кандидатов в присяжные заседатели, является их гражданским долгом.</w:t>
      </w:r>
    </w:p>
    <w:p>
      <w:pPr>
        <w:pStyle w:val="BodyText"/>
      </w:pPr>
      <w:r>
        <w:t xml:space="preserve">Списки кандидатов в присяжные заседатели на 2022-2025 годы составляются на основе персональных данных об избирателях, входящих в информационные ресурсы Государственной автоматизированной системы Российской Федерации «Выборы», путем случайной выборки установленного числа граждан.</w:t>
      </w:r>
    </w:p>
    <w:bookmarkStart w:id="25" w:name="X5dbb2b1e06c09f52b1a12dc5efd1833efab5d64"/>
    <w:p>
      <w:pPr>
        <w:pStyle w:val="Heading2"/>
      </w:pPr>
      <w:r>
        <w:t xml:space="preserve">Граждане, включенные в списки кандидатов в присяжные заседатели, исключаются из указанных списков в случаях:</w:t>
      </w:r>
    </w:p>
    <w:bookmarkStart w:id="21" w:name="X27bbddd9fbe92416cd71fb52beaafe23d710b1d"/>
    <w:p>
      <w:pPr>
        <w:pStyle w:val="Heading4"/>
      </w:pPr>
      <w:r>
        <w:t xml:space="preserve">Выявления обстоятельств, не позволяющих гражданам быть кандидатами в присяжные заседатели:</w:t>
      </w:r>
    </w:p>
    <w:p>
      <w:pPr>
        <w:numPr>
          <w:ilvl w:val="0"/>
          <w:numId w:val="1001"/>
        </w:numPr>
        <w:pStyle w:val="Compact"/>
      </w:pPr>
      <w:r>
        <w:t xml:space="preserve">не достигшие к моменту составления кандидатов в присяжные заседатели возраста 25 лет</w:t>
      </w:r>
    </w:p>
    <w:p>
      <w:pPr>
        <w:numPr>
          <w:ilvl w:val="0"/>
          <w:numId w:val="1001"/>
        </w:numPr>
        <w:pStyle w:val="Compact"/>
      </w:pPr>
      <w:r>
        <w:t xml:space="preserve">имеющие непогашенную или неснятую судимость</w:t>
      </w:r>
    </w:p>
    <w:p>
      <w:pPr>
        <w:numPr>
          <w:ilvl w:val="0"/>
          <w:numId w:val="1001"/>
        </w:numPr>
        <w:pStyle w:val="Compact"/>
      </w:pPr>
      <w:r>
        <w:t xml:space="preserve">признанные судом недееспособными или ограниченные судом в дееспособности</w:t>
      </w:r>
    </w:p>
    <w:p>
      <w:pPr>
        <w:numPr>
          <w:ilvl w:val="0"/>
          <w:numId w:val="1001"/>
        </w:numPr>
        <w:pStyle w:val="Compact"/>
      </w:pPr>
      <w:r>
        <w:t xml:space="preserve">состоящие на учете в наркологическом или психоневрологическом диспансере в связи с лечением от алкоголизма, наркомании, токсикомании, хронических и затяжных психических расстройств.</w:t>
      </w:r>
    </w:p>
    <w:bookmarkEnd w:id="21"/>
    <w:bookmarkStart w:id="24" w:name="X79dca73cf1527eb5d2221ab984768ef5ccb04c3"/>
    <w:p>
      <w:pPr>
        <w:pStyle w:val="Heading4"/>
      </w:pPr>
      <w:r>
        <w:t xml:space="preserve">Подачи гражданином письменного заявления о наличии обстоятельств, препятствующих исполнению им обязанностей присяжного заседателя, если он является:</w:t>
      </w:r>
    </w:p>
    <w:p>
      <w:pPr>
        <w:numPr>
          <w:ilvl w:val="0"/>
          <w:numId w:val="1002"/>
        </w:numPr>
        <w:pStyle w:val="Compact"/>
      </w:pPr>
      <w:r>
        <w:t xml:space="preserve">лицом, не владеющим языком, на котором ведется судопроизводство</w:t>
      </w:r>
    </w:p>
    <w:p>
      <w:pPr>
        <w:numPr>
          <w:ilvl w:val="0"/>
          <w:numId w:val="1002"/>
        </w:numPr>
        <w:pStyle w:val="Compact"/>
      </w:pPr>
      <w:r>
        <w:t xml:space="preserve">лицом, не способным исполнять обязанности присяжного заседателя по состоянию здоровья, подтвержденному медицинскими документами</w:t>
      </w:r>
    </w:p>
    <w:p>
      <w:pPr>
        <w:numPr>
          <w:ilvl w:val="0"/>
          <w:numId w:val="1002"/>
        </w:numPr>
        <w:pStyle w:val="Compact"/>
      </w:pPr>
      <w:r>
        <w:t xml:space="preserve">лицом, достигшим возраста 65 лет</w:t>
      </w:r>
    </w:p>
    <w:p>
      <w:pPr>
        <w:numPr>
          <w:ilvl w:val="0"/>
          <w:numId w:val="1002"/>
        </w:numPr>
        <w:pStyle w:val="Compact"/>
      </w:pPr>
      <w:r>
        <w:t xml:space="preserve">лицом, замещающим государственные должности или выборные должности в органах местного самоуправления</w:t>
      </w:r>
    </w:p>
    <w:p>
      <w:pPr>
        <w:numPr>
          <w:ilvl w:val="0"/>
          <w:numId w:val="1002"/>
        </w:numPr>
        <w:pStyle w:val="Compact"/>
      </w:pPr>
      <w:r>
        <w:t xml:space="preserve">военнослужащим</w:t>
      </w:r>
    </w:p>
    <w:p>
      <w:pPr>
        <w:numPr>
          <w:ilvl w:val="0"/>
          <w:numId w:val="1002"/>
        </w:numPr>
        <w:pStyle w:val="Compact"/>
      </w:pPr>
      <w:r>
        <w:t xml:space="preserve">судьей, прокурором, следователем, дознавателем, адвокатом, нотариусом или имеющим специальное звание сотрудником органов внутренних дел, органов по контролю за оборотом наркотических средств и психотропных веществ, службы судебных приставов, таможенных органов, органов и учреждений уголовно-исполнительной системы, а также лицом, осуществляющим частную детективную деятельность на основе специального разрешения (лицензии)</w:t>
      </w:r>
    </w:p>
    <w:p>
      <w:pPr>
        <w:numPr>
          <w:ilvl w:val="0"/>
          <w:numId w:val="1002"/>
        </w:numPr>
        <w:pStyle w:val="Compact"/>
      </w:pPr>
      <w:r>
        <w:t xml:space="preserve">священнослужителем</w:t>
      </w:r>
    </w:p>
    <w:p>
      <w:pPr>
        <w:pStyle w:val="FirstParagraph"/>
      </w:pPr>
      <w:r>
        <w:t xml:space="preserve">Списки составляются в результате проведенной случайной выборки.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http://arbat.mos.ru/presscenter/news/detail/10279326.html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Арбат города Москвы</w:t>
        </w:r>
      </w:hyperlink>
    </w:p>
    <w:bookmarkEnd w:id="24"/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presscenter/news/detail/102793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presscenter/news/detail/102793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2025-05-10T22:56:18Z</dcterms:created>
  <dcterms:modified xsi:type="dcterms:W3CDTF">2025-05-10T22:56:18Z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