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80784c682948cae9a7b7012a950865fa6aff1"/>
    <w:p>
      <w:pPr>
        <w:pStyle w:val="Heading3"/>
      </w:pPr>
      <w:r>
        <w:t xml:space="preserve">Приказ префектуры о внесении изменений в План противодействия коррупции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hyperlink r:id="rId20">
        <w:r>
          <w:rPr>
            <w:rStyle w:val="Hyperlink"/>
          </w:rPr>
          <w:t xml:space="preserve">/prikaz_o_vnesenii_izmenenii_v_plan_protivodei_stviya_korruptsii.pdf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http://arbat.mos.ru/anti-corruption/plans-papers-reports-reviews-static-information-on-combating-corruption/detail/7973122.html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ikaz_o_vnesenii_izmenenii_v_plan_protivodei_stviya_korruptsii.pdf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plans-papers-reports-reviews-static-information-on-combating-corruption/detail/7973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ikaz_o_vnesenii_izmenenii_v_plan_protivodei_stviya_korruptsii.pdf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plans-papers-reports-reviews-static-information-on-combating-corruption/detail/7973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2025-06-22T05:17:23Z</dcterms:created>
  <dcterms:modified xsi:type="dcterms:W3CDTF">2025-06-22T05:17:23Z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