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b0fdeb89032a1881df2ac78298f452757fa6b"/>
    <w:p>
      <w:pPr>
        <w:pStyle w:val="Heading3"/>
      </w:pPr>
      <w:r>
        <w:t xml:space="preserve">Методические рекомендации по проведению в федеральных государственных органах, органах государственной власти субъектов Российской Федерации, органах местного самоуправления, государственных внебюджетных фондах и иных организациях, осуществляющих закупки</w:t>
      </w:r>
    </w:p>
    <w:p>
      <w:pPr>
        <w:pStyle w:val="FirstParagraph"/>
      </w:pPr>
      <w:r>
        <w:t xml:space="preserve">15.06.2020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http://arbat.mos.ru/anti-corruption/methodical-materials/detail/8966500.html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8966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8966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2024-10-18T01:47:05Z</dcterms:created>
  <dcterms:modified xsi:type="dcterms:W3CDTF">2024-10-18T01:47:05Z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