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198790d5f222f054053e7933e0880b5852bf65"/>
    <w:p>
      <w:pPr>
        <w:pStyle w:val="Heading3"/>
      </w:pPr>
      <w:r>
        <w:t xml:space="preserve">Конфликт интересов на государственной и муниципальной службе</w:t>
      </w:r>
    </w:p>
    <w:p>
      <w:pPr>
        <w:pStyle w:val="FirstParagraph"/>
      </w:pPr>
      <w:r>
        <w:t xml:space="preserve">16.01.2019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http://arbat.mos.ru/anti-corruption/methodical-materials/detail/7822606.html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anti-corruption/methodical-materials/detail/78226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anti-corruption/methodical-materials/detail/78226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2024-09-09T01:27:02Z</dcterms:created>
  <dcterms:modified xsi:type="dcterms:W3CDTF">2024-09-09T01:27:02Z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