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6ec2f79966027f40cf0aecc119a90f80998c3"/>
    <w:p>
      <w:pPr>
        <w:pStyle w:val="Heading3"/>
      </w:pPr>
      <w:r>
        <w:t xml:space="preserve">Информационно-методический ресурс по вопросам противодействия коррупции на базе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hyperlink r:id="rId20">
        <w:r>
          <w:rPr>
            <w:rStyle w:val="Hyperlink"/>
          </w:rPr>
          <w:t xml:space="preserve">https://gossluzhba.gov.ru/anticorruption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http://arbat.mos.ru/anti-corruption/methodical-materials/detail/12721622.html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methodical-materials/detail/12721622.html" TargetMode="External" /><Relationship Type="http://schemas.openxmlformats.org/officeDocument/2006/relationships/hyperlink" Id="rId20" Target="https://gossluzhba.gov.ru/anticorru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anti-corruption/methodical-materials/detail/12721622.html" TargetMode="External" /><Relationship Type="http://schemas.openxmlformats.org/officeDocument/2006/relationships/hyperlink" Id="rId20" Target="https://gossluzhba.gov.ru/anticorru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2024-12-18T00:13:27Z</dcterms:created>
  <dcterms:modified xsi:type="dcterms:W3CDTF">2024-12-18T00:13:27Z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