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3b0bb2c040908236912e71894d610a64ca008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ГКУ ИС района Арбат и членов семьи за период с 1 января по 31 декабря 2013 года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 </w:t>
        </w:r>
        <w:r>
          <w:rPr>
            <w:rStyle w:val="Hyperlink"/>
          </w:rPr>
          <w:t xml:space="preserve">о доходах, об имуществе и обязательствах имущественного характера руководителя ГКУ ИС района Арбат и членов семьи </w:t>
        </w:r>
        <w:r>
          <w:rPr>
            <w:rStyle w:val="Hyperlink"/>
          </w:rPr>
          <w:t xml:space="preserve">за период с 1 января по 31 декабря 2013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http://arbat.mos.ru/anti-corruption/information-on-income-expenses-about-property-and-obligations-of-property-character/detail/1051311.html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housing-and-communal-services-and-improvement/landscaping/dohody_rukovoditelya_gku_is_2013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051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housing-and-communal-services-and-improvement/landscaping/dohody_rukovoditelya_gku_is_2013.docx" TargetMode="Externa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information-on-income-expenses-about-property-and-obligations-of-property-character/detail/1051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2025-06-08T21:04:27Z</dcterms:created>
  <dcterms:modified xsi:type="dcterms:W3CDTF">2025-06-08T21:04:27Z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