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d9fb40f4aae0b3b53e5fda49bfe3dc34a41fc"/>
    <w:p>
      <w:pPr>
        <w:pStyle w:val="Heading3"/>
      </w:pPr>
      <w:r>
        <w:t xml:space="preserve">Официальный сайт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hyperlink r:id="rId20">
        <w:r>
          <w:rPr>
            <w:rStyle w:val="Hyperlink"/>
          </w:rPr>
          <w:t xml:space="preserve">https://regulation.gov.ru/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http://arbat.mos.ru/anti-corruption/anti-corruption-expertise/detail/12721641.html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anti-corruption-expertise/detail/12721641.html" TargetMode="External" /><Relationship Type="http://schemas.openxmlformats.org/officeDocument/2006/relationships/hyperlink" Id="rId20" Target="https://regulation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anti-corruption-expertise/detail/12721641.html" TargetMode="External" /><Relationship Type="http://schemas.openxmlformats.org/officeDocument/2006/relationships/hyperlink" Id="rId20" Target="https://regulation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2025-05-14T01:42:27Z</dcterms:created>
  <dcterms:modified xsi:type="dcterms:W3CDTF">2025-05-14T01:42:27Z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